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黑体" w:hAnsi="黑体" w:eastAsia="黑体" w:cs="黑体"/>
          <w:color w:val="000000"/>
          <w:kern w:val="0"/>
          <w:sz w:val="31"/>
          <w:szCs w:val="31"/>
          <w:lang w:val="en-US" w:eastAsia="zh-CN" w:bidi="ar"/>
        </w:rPr>
        <w:t>附件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  <w:t>制造业单项冠军培育遴选重点领域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一、新一代信息技术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基础电子元器件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电子专用设备与测量仪器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集成电路制造设备和零部件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集成电路制造与封测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网络设备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智能感知设备及器件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新型计算设备（服务器、存储设备等）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智能终端产品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物联网器件及设备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新型显示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信息安全设备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人工智能软硬件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网络与信息安全软件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工业互联网平台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二、装备制造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工业机器人与服务机器人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数控机床与先进成形装备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增材制造装备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大型工程机械及部件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重大成套设备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智能测控装备（仪器仪表）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工业母机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关键基础零部件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铁路高端装备及部件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轨道交通装备及部件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先进适用农机装备及部件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高效专用农机装备及部件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先进纺织机械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智能化食品饮料机械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高端医疗装备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工业气体关键技术及装备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三、新材料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先进钢铁材料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先进有色金属材料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先进石化化工新材料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先进无机非金属材料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先进稀土材料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高储能和关键电子材料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高性能纤维及制品和复合材料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生物基和生物医用材料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先进半导体材料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新型显示材料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新能源材料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新能源电池材料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绿色节能建筑材料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其他前沿新材料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四、新能源汽车和智能网联汽车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新能源汽车整车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电驱动系统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动力电池系统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燃料电池系统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环境感知设备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车载联网设备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计算平台及操作系统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开发软件及工具链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软硬件测试设备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其他零部件及相关设备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五、新能源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核燃料加工及设备制造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核电装备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风能发电机装备及零部件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风能发电其他相关装备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太阳能设备和生产装备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太阳能电池与锂离子电池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生物质能及其他新能源设备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智能电力控制设备及电缆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电力电子基础元器件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六、节能环保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高效节能通用设备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高效节能专用设备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高效节能电气机械器材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高效节能工业控制装置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环境保护专用设备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环境保护监测仪器及电子设备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环境污染处理药剂材料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矿产资源与工业废弃资源利用设备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城乡生活垃圾与农林废弃资源利用设备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水及海水资源利用设备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七、航空航天与海洋装备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航空器整机（不含无人机）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航空发动机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航空机载系统和设备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航空零部件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无人机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卫星应用技术设备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船舶与海洋工程装备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深海石油钻探设备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其他海洋相关设备与产品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海洋环境监测与探测装备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八、高端化工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合成树脂及工程塑料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特种尼龙及纤维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聚氨酯新材料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特种橡胶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功能化学品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>轻工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智能家电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新型纤维材料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智能绿色印染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智能纺机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预制菜产业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智能制浆设备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木材加工类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 w:bidi="ar"/>
        </w:rPr>
        <w:t xml:space="preserve">十、其他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数字创意技术设备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冰雪装备器材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文物保护装备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智慧医疗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绿色农用生物产品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5F64E5"/>
    <w:multiLevelType w:val="singleLevel"/>
    <w:tmpl w:val="7F5F64E5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